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4B2E7587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7A047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72E392E5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3959A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27.10.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3959A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Pr="00674F39" w:rsidRDefault="009E0C2E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674F39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6A3CF27B" w14:textId="53ED50AE" w:rsidR="00674F39" w:rsidRPr="00674F39" w:rsidRDefault="00D254B0" w:rsidP="00674F39">
      <w:pPr>
        <w:pStyle w:val="aa"/>
        <w:ind w:left="1" w:right="1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послуги з надання відшкодування громадянам втраченого заробітку, який вони мали до ушкодження здоров’я, у разі, коли захворювання або каліцтво, що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виникли</w:t>
      </w:r>
      <w:r w:rsidR="00674F39" w:rsidRPr="00674F3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зв’язку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виконанням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робіт,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пов’язаних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>ліквідацією</w:t>
      </w:r>
      <w:r w:rsidR="00674F39" w:rsidRPr="00674F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74F39" w:rsidRPr="00674F39">
        <w:rPr>
          <w:rFonts w:ascii="Times New Roman" w:hAnsi="Times New Roman" w:cs="Times New Roman"/>
          <w:b/>
          <w:bCs/>
          <w:sz w:val="28"/>
          <w:szCs w:val="28"/>
        </w:rPr>
        <w:t xml:space="preserve">наслідків аварії на Чорнобильській АЕС, призвели до стійкої втрати професійної працездатності (без встановлення інвалідності) </w:t>
      </w: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144597" w:rsidRDefault="00706125" w:rsidP="00674F39">
            <w:pPr>
              <w:pStyle w:val="a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77777777" w:rsidR="00706125" w:rsidRPr="00144597" w:rsidRDefault="00706125" w:rsidP="00674F39">
            <w:pPr>
              <w:pStyle w:val="a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 ідентифікація заявника;</w:t>
            </w:r>
          </w:p>
          <w:p w14:paraId="40466CF9" w14:textId="77777777" w:rsidR="00706125" w:rsidRPr="00144597" w:rsidRDefault="00706125" w:rsidP="00674F39">
            <w:pPr>
              <w:pStyle w:val="ae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67A416DF" w:rsidR="00706125" w:rsidRPr="00674F39" w:rsidRDefault="00706125" w:rsidP="00674F39">
            <w:pPr>
              <w:pStyle w:val="aa"/>
              <w:spacing w:after="0"/>
              <w:ind w:left="1" w:right="1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</w:t>
            </w:r>
            <w:r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про істотні умови надання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послуги з надання відшкодування громадянам втраченого заробітку, який вони мали до ушкодження здоров’я, у разі, коли захворювання або каліцтво, що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виникли</w:t>
            </w:r>
            <w:r w:rsidR="00674F39" w:rsidRPr="00674F3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зв’язку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виконанням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робіт,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пов’язаних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ліквідацією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наслідків аварії на Чорнобильській АЕС, призвели до стійкої втрати професійної працездатності (без встановлення інвалідності)</w:t>
            </w:r>
            <w:r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5575ED7D" w:rsidR="00706125" w:rsidRPr="00706125" w:rsidRDefault="00706125" w:rsidP="00674F3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1.4 реєстрація звернення в підсистемі Інтегрованої комплексної інформаційної </w:t>
            </w: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системи Пенсійного фонду України «ЗВЕРНЕННЯ» (далі – «ЗВЕРНЕННЯ»): пошук заявника в РЗО, заповнення реквізитів картки звернення  про </w:t>
            </w:r>
            <w:r w:rsidRPr="00144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послуги з надання відшкодування громадянам втраченого заробітку, який вони мали до ушкодження здоров’я, у разі, коли захворювання або каліцтво, що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виникли</w:t>
            </w:r>
            <w:r w:rsidR="00674F39" w:rsidRPr="00674F3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зв’язку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виконанням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робіт,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пов’язаних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ліквідацією</w:t>
            </w:r>
            <w:r w:rsidR="00674F39" w:rsidRPr="00674F3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</w:rPr>
              <w:t>наслідків аварії на Чорнобильській АЕС, призвели до стійкої втрати професійної працездатності (без встановлення інвалідності)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9520E57" w14:textId="77777777" w:rsidR="00706125" w:rsidRPr="00331A9D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D0057" w14:textId="24B8E258" w:rsidR="00706125" w:rsidRPr="004B03F0" w:rsidRDefault="00706125" w:rsidP="00674F3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>надання послуги з надання відшкодування громадянам втраченого заробітку, який вони мали до ушкодження здоров’я, у разі, коли захворювання або каліцтво, що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виникли</w:t>
            </w:r>
            <w:r w:rsidR="00674F39" w:rsidRPr="00674F39">
              <w:rPr>
                <w:spacing w:val="-8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у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зв’язку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з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виконанням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робіт,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пов’язаних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з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ліквідацією</w:t>
            </w:r>
            <w:r w:rsidR="00674F39" w:rsidRPr="00674F39">
              <w:rPr>
                <w:spacing w:val="-7"/>
                <w:sz w:val="28"/>
                <w:szCs w:val="28"/>
              </w:rPr>
              <w:t xml:space="preserve"> </w:t>
            </w:r>
            <w:r w:rsidR="00674F39" w:rsidRPr="00674F39">
              <w:rPr>
                <w:sz w:val="28"/>
                <w:szCs w:val="28"/>
              </w:rPr>
              <w:t>наслідків аварії на Чорнобильській АЕС, призвели до стійкої втрати професійної працездатності (без встановлення інвалідності)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5402D030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2.1 автоматичне формування заяви;</w:t>
            </w:r>
          </w:p>
          <w:p w14:paraId="0AF99F54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 виготовлення електронних копій шляхом сканування поданих/ сформованих документів;</w:t>
            </w:r>
          </w:p>
          <w:p w14:paraId="2561FD7C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2.3 завантаження заяви та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2.4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9570C1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2D46225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9F562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9B87F50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9127D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4BE088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56F0" w14:paraId="02580AD5" w14:textId="77777777" w:rsidTr="00914FCB">
        <w:trPr>
          <w:jc w:val="center"/>
        </w:trPr>
        <w:tc>
          <w:tcPr>
            <w:tcW w:w="9726" w:type="dxa"/>
          </w:tcPr>
          <w:p w14:paraId="06A042C3" w14:textId="77777777" w:rsidR="00DF56F0" w:rsidRDefault="00DF56F0" w:rsidP="00DF56F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6. Опрацювання звернення за призначенням щорічної допомоги відшкодування громадянам втраченого заробітку, який вони мали до ушкодження здоров’я, у разі, коли захворювання або каліцтво, що виникли у зв’язку з виконанням робіт, пов’язаних з ліквідацією наслідків аварії на Чорнобильській АЕС, призвели до стійкої втрати професійної працездатності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( без встановлення інвалідності) (далі — державна допомога) в підсистемі "Призначення та виплата деяких соціальних виплат" (далі — ДСВ):</w:t>
            </w:r>
          </w:p>
          <w:p w14:paraId="4D2DE052" w14:textId="77777777" w:rsidR="00DF56F0" w:rsidRDefault="00DF56F0" w:rsidP="00DF56F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пошук звернення в розділі «Опрацювання виплатних параметрів» у Журналі звернень на виплату по спискам;</w:t>
            </w:r>
          </w:p>
          <w:p w14:paraId="74038D71" w14:textId="77777777" w:rsidR="00DF56F0" w:rsidRDefault="00DF56F0" w:rsidP="00DF56F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взяття рішення в роботу, перегляд даних отриманих від юридичної особи.</w:t>
            </w:r>
          </w:p>
          <w:p w14:paraId="47561838" w14:textId="77777777" w:rsidR="00DF56F0" w:rsidRDefault="00DF56F0" w:rsidP="00DF56F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даних на наявність зауважень, при відсутності зауважень зробити відмітку в колонці «остаточний результат», - проставити галочку для врахування суми;</w:t>
            </w:r>
          </w:p>
          <w:p w14:paraId="4CEBF309" w14:textId="77777777" w:rsidR="00DF56F0" w:rsidRDefault="00DF56F0" w:rsidP="00DF56F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Розрахувати загальну суму на фінансування, натиснувши відповідну кнопку;</w:t>
            </w:r>
          </w:p>
          <w:p w14:paraId="52AE6824" w14:textId="12D7802E" w:rsidR="00DF56F0" w:rsidRDefault="00DF56F0" w:rsidP="00DF56F0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затвердити перелік, для потрапляння у виплатні відомості.</w:t>
            </w:r>
          </w:p>
        </w:tc>
        <w:tc>
          <w:tcPr>
            <w:tcW w:w="2412" w:type="dxa"/>
          </w:tcPr>
          <w:p w14:paraId="15B222F2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6DF34C71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Відділу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перевірки правильності розрахунку розміру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lastRenderedPageBreak/>
              <w:t>страхових виплат у зв'язку із тимчасовою втратою працездатності</w:t>
            </w:r>
          </w:p>
          <w:p w14:paraId="1A5F5AB6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29C8838A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6AFB9C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F43452B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C176FC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2FE7ED5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85490B0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F3F8B93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3DA65DD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C82927E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83AE95A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7170C05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A34EBFE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B4E3063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1A319E2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924DDBA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393253A3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365AEE54" w:rsidR="00DF56F0" w:rsidRDefault="00DF56F0" w:rsidP="00DF56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DF56F0" w14:paraId="5999DDCC" w14:textId="77777777" w:rsidTr="00914FCB">
        <w:trPr>
          <w:jc w:val="center"/>
        </w:trPr>
        <w:tc>
          <w:tcPr>
            <w:tcW w:w="9726" w:type="dxa"/>
          </w:tcPr>
          <w:p w14:paraId="538EBEEC" w14:textId="06B2415D" w:rsidR="00DF56F0" w:rsidRDefault="00DF56F0" w:rsidP="00DF56F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263F449E" w14:textId="351856DB" w:rsidR="00DF56F0" w:rsidRDefault="00DF56F0" w:rsidP="00DF56F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 Взяття заяви в роботу;</w:t>
            </w:r>
          </w:p>
          <w:p w14:paraId="643835EA" w14:textId="16B5DB51" w:rsidR="00DF56F0" w:rsidRDefault="00DF56F0" w:rsidP="00DF56F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перевірка документів для виплати у вкладці «Відкрити картку ЕОС»  (заява про призначення допомоги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одужання, паспорт, РНОКПП);</w:t>
            </w:r>
          </w:p>
          <w:p w14:paraId="5B794E03" w14:textId="0977F296" w:rsidR="00DF56F0" w:rsidRDefault="00DF56F0" w:rsidP="00DF56F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 внесення даних виплатних реквізитів згідно поданих документів у вкладці «Рішення про призначення», підпункт «Параметри виплати» (при призначенні послуги)</w:t>
            </w:r>
          </w:p>
          <w:p w14:paraId="57B2BA88" w14:textId="77777777" w:rsidR="00DF56F0" w:rsidRDefault="00DF56F0" w:rsidP="00DF56F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7EAACD64" w14:textId="77777777" w:rsidR="00DF56F0" w:rsidRDefault="00DF56F0" w:rsidP="00DF56F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79967B4C" w14:textId="77777777" w:rsidR="00DF56F0" w:rsidRDefault="00DF56F0" w:rsidP="00DF56F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виплати);</w:t>
            </w:r>
          </w:p>
          <w:p w14:paraId="1D050A1F" w14:textId="77777777" w:rsidR="00DF56F0" w:rsidRDefault="00DF56F0" w:rsidP="00DF56F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  вибір періоду для поновлення по Рішенню про призначення у функціоналі «Поновлення виплати» (при поновленні виплати).</w:t>
            </w:r>
          </w:p>
          <w:p w14:paraId="6562164F" w14:textId="4F196B93" w:rsidR="00DF56F0" w:rsidRDefault="00DF56F0" w:rsidP="00DF56F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7.4 збереження даних</w:t>
            </w:r>
          </w:p>
          <w:p w14:paraId="7EFEC6BD" w14:textId="7538A47F" w:rsidR="00DF56F0" w:rsidRDefault="00DF56F0" w:rsidP="00DF56F0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7.5  виплата сум допомоги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 у виплатний період (статус «Нараховано»)</w:t>
            </w:r>
          </w:p>
          <w:p w14:paraId="0F1B2C09" w14:textId="77777777" w:rsidR="00DF56F0" w:rsidRDefault="00DF56F0" w:rsidP="00DF56F0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допомоги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 (статус «Припинено виплату»)</w:t>
            </w:r>
          </w:p>
          <w:p w14:paraId="5614CDE1" w14:textId="207513FD" w:rsidR="00DF56F0" w:rsidRDefault="00DF56F0" w:rsidP="00DF56F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допомоги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7DC39F03" w14:textId="77777777" w:rsidR="00DF56F0" w:rsidRDefault="00DF56F0" w:rsidP="00DF56F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Фахівець відповідного Відділу опрацювання документації</w:t>
            </w:r>
          </w:p>
          <w:p w14:paraId="54B82B80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69BF9E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BE8DC60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5B2FC2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43F9FF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2DA8147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9E723D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09141CA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959BA1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8040A3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3C7C30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3752882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09FF2B8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2F6179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BBB36B4" w14:textId="77777777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2B2147" w14:textId="229D5AA6" w:rsidR="00DF56F0" w:rsidRDefault="00DF56F0" w:rsidP="00DF56F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282E3F67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З</w:t>
            </w:r>
          </w:p>
          <w:p w14:paraId="11432C1C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8FFF1E8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DF032E9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2DE087C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AF84FFF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321A008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C054E29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947375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41E0D05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FE65786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2B8A04C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FEA5DC0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D1B55EF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BC7ABB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BD27A9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4A73C0F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EB7F817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B59917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BBF089B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ABA08E3" w14:textId="77777777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A89A40" w14:textId="1054DC8A" w:rsidR="00DF56F0" w:rsidRDefault="00DF56F0" w:rsidP="00DF56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7B327405" w14:textId="3DF3B97E" w:rsidR="00DF56F0" w:rsidRDefault="00DF56F0" w:rsidP="00DF56F0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У виплатний 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E6F0E0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25D65765" w:rsidR="00AA5EAD" w:rsidRPr="00D06F2C" w:rsidRDefault="00DF56F0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586296">
      <w:pgSz w:w="16838" w:h="11906" w:orient="landscape"/>
      <w:pgMar w:top="851" w:right="56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57174"/>
    <w:rsid w:val="00057AEC"/>
    <w:rsid w:val="000940C4"/>
    <w:rsid w:val="0009796B"/>
    <w:rsid w:val="000D7D83"/>
    <w:rsid w:val="000E39F7"/>
    <w:rsid w:val="00141049"/>
    <w:rsid w:val="001B6765"/>
    <w:rsid w:val="002B3889"/>
    <w:rsid w:val="002E720B"/>
    <w:rsid w:val="00351BB0"/>
    <w:rsid w:val="00382830"/>
    <w:rsid w:val="003959AC"/>
    <w:rsid w:val="003B4EF7"/>
    <w:rsid w:val="00456CF1"/>
    <w:rsid w:val="00473AAD"/>
    <w:rsid w:val="0048531D"/>
    <w:rsid w:val="004E685D"/>
    <w:rsid w:val="00503E95"/>
    <w:rsid w:val="005240EE"/>
    <w:rsid w:val="00524FD0"/>
    <w:rsid w:val="00533348"/>
    <w:rsid w:val="00546458"/>
    <w:rsid w:val="005713C6"/>
    <w:rsid w:val="00586296"/>
    <w:rsid w:val="005A0539"/>
    <w:rsid w:val="005D0243"/>
    <w:rsid w:val="00602785"/>
    <w:rsid w:val="00604A3D"/>
    <w:rsid w:val="00627AC7"/>
    <w:rsid w:val="00674F39"/>
    <w:rsid w:val="00696C90"/>
    <w:rsid w:val="006A2758"/>
    <w:rsid w:val="00706125"/>
    <w:rsid w:val="007226CA"/>
    <w:rsid w:val="00756003"/>
    <w:rsid w:val="00763D89"/>
    <w:rsid w:val="007A047B"/>
    <w:rsid w:val="007B5281"/>
    <w:rsid w:val="007E4DF6"/>
    <w:rsid w:val="00810329"/>
    <w:rsid w:val="00853E38"/>
    <w:rsid w:val="00872C80"/>
    <w:rsid w:val="00896C5A"/>
    <w:rsid w:val="008D30D1"/>
    <w:rsid w:val="008F519C"/>
    <w:rsid w:val="0090173C"/>
    <w:rsid w:val="00914FCB"/>
    <w:rsid w:val="00925E95"/>
    <w:rsid w:val="00932ED3"/>
    <w:rsid w:val="00980E69"/>
    <w:rsid w:val="009C2BF5"/>
    <w:rsid w:val="009E0C2E"/>
    <w:rsid w:val="00A0200A"/>
    <w:rsid w:val="00A13493"/>
    <w:rsid w:val="00A27133"/>
    <w:rsid w:val="00A47485"/>
    <w:rsid w:val="00AA2DB9"/>
    <w:rsid w:val="00AA5EAD"/>
    <w:rsid w:val="00AD7E38"/>
    <w:rsid w:val="00AE48AC"/>
    <w:rsid w:val="00AF6302"/>
    <w:rsid w:val="00B11668"/>
    <w:rsid w:val="00B334F8"/>
    <w:rsid w:val="00B41EB4"/>
    <w:rsid w:val="00B93910"/>
    <w:rsid w:val="00BA7302"/>
    <w:rsid w:val="00BC7AB7"/>
    <w:rsid w:val="00C34EE1"/>
    <w:rsid w:val="00C908A8"/>
    <w:rsid w:val="00CB0F13"/>
    <w:rsid w:val="00D06F2C"/>
    <w:rsid w:val="00D10C96"/>
    <w:rsid w:val="00D2354E"/>
    <w:rsid w:val="00D254B0"/>
    <w:rsid w:val="00D500B1"/>
    <w:rsid w:val="00D57555"/>
    <w:rsid w:val="00DB6440"/>
    <w:rsid w:val="00DE04CD"/>
    <w:rsid w:val="00DF56F0"/>
    <w:rsid w:val="00E4566A"/>
    <w:rsid w:val="00E54F8B"/>
    <w:rsid w:val="00E558FB"/>
    <w:rsid w:val="00E61493"/>
    <w:rsid w:val="00EB6003"/>
    <w:rsid w:val="00EC0647"/>
    <w:rsid w:val="00ED26C9"/>
    <w:rsid w:val="00EF4657"/>
    <w:rsid w:val="00F64CD8"/>
    <w:rsid w:val="00F90B57"/>
    <w:rsid w:val="00F9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4261</Words>
  <Characters>2429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21</cp:revision>
  <cp:lastPrinted>2025-08-11T10:39:00Z</cp:lastPrinted>
  <dcterms:created xsi:type="dcterms:W3CDTF">2025-07-30T08:35:00Z</dcterms:created>
  <dcterms:modified xsi:type="dcterms:W3CDTF">2025-10-28T06:39:00Z</dcterms:modified>
  <dc:language>uk-UA</dc:language>
</cp:coreProperties>
</file>